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48B2E" w14:textId="77777777" w:rsidR="00623DB3" w:rsidRDefault="00623DB3" w:rsidP="00623DB3">
      <w:pPr>
        <w:tabs>
          <w:tab w:val="left" w:pos="1985"/>
          <w:tab w:val="left" w:pos="7920"/>
        </w:tabs>
        <w:spacing w:after="0"/>
        <w:jc w:val="both"/>
        <w:rPr>
          <w:rFonts w:ascii="Arial" w:hAnsi="Arial" w:cs="Arial"/>
          <w:b/>
          <w:sz w:val="24"/>
        </w:rPr>
      </w:pPr>
      <w:bookmarkStart w:id="0" w:name="_Hlk6897498"/>
      <w:bookmarkStart w:id="1" w:name="_Hlk3548187"/>
      <w:bookmarkStart w:id="2" w:name="_Toc508617208"/>
      <w:bookmarkStart w:id="3" w:name="_GoBack"/>
      <w:bookmarkEnd w:id="3"/>
      <w:r>
        <w:rPr>
          <w:rFonts w:ascii="Arial" w:hAnsi="Arial" w:cs="Arial"/>
          <w:b/>
          <w:sz w:val="24"/>
          <w:lang w:val="en-US"/>
        </w:rPr>
        <w:t>3GPP TSG-RAN WG4 Meeting #94-e</w:t>
      </w:r>
      <w:r>
        <w:rPr>
          <w:rFonts w:ascii="Arial" w:hAnsi="Arial" w:cs="Arial"/>
          <w:b/>
          <w:sz w:val="24"/>
          <w:lang w:val="en-US"/>
        </w:rPr>
        <w:tab/>
      </w:r>
      <w:r>
        <w:rPr>
          <w:rFonts w:ascii="Arial" w:hAnsi="Arial" w:cs="Arial"/>
          <w:b/>
          <w:sz w:val="24"/>
          <w:lang w:val="en-US"/>
        </w:rPr>
        <w:tab/>
        <w:t>R4-200xxxx</w:t>
      </w:r>
      <w:r>
        <w:rPr>
          <w:rFonts w:ascii="Arial" w:hAnsi="Arial" w:cs="Arial"/>
          <w:b/>
          <w:sz w:val="24"/>
          <w:lang w:val="en-US"/>
        </w:rPr>
        <w:br/>
      </w:r>
      <w:r>
        <w:rPr>
          <w:rFonts w:ascii="Arial" w:hAnsi="Arial" w:cs="Arial"/>
          <w:b/>
          <w:sz w:val="24"/>
        </w:rPr>
        <w:t xml:space="preserve">Electronic Meeting, 24 Feb. – 6 </w:t>
      </w:r>
      <w:proofErr w:type="gramStart"/>
      <w:r>
        <w:rPr>
          <w:rFonts w:ascii="Arial" w:hAnsi="Arial" w:cs="Arial"/>
          <w:b/>
          <w:sz w:val="24"/>
        </w:rPr>
        <w:t>Mar.,</w:t>
      </w:r>
      <w:proofErr w:type="gramEnd"/>
      <w:r>
        <w:rPr>
          <w:rFonts w:ascii="Arial" w:hAnsi="Arial" w:cs="Arial"/>
          <w:b/>
          <w:sz w:val="24"/>
        </w:rPr>
        <w:t xml:space="preserve"> 2020</w:t>
      </w:r>
      <w:bookmarkEnd w:id="0"/>
    </w:p>
    <w:p w14:paraId="6B5C1516" w14:textId="77777777" w:rsidR="00623DB3" w:rsidRPr="0008103A" w:rsidRDefault="00623DB3" w:rsidP="00623DB3">
      <w:pPr>
        <w:rPr>
          <w:rFonts w:ascii="Arial" w:hAnsi="Arial" w:cs="Arial"/>
          <w:b/>
          <w:sz w:val="24"/>
          <w:szCs w:val="24"/>
        </w:rPr>
      </w:pPr>
    </w:p>
    <w:p w14:paraId="35952388" w14:textId="73458D8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AD5D94" w:rsidRPr="00AD5D94">
        <w:rPr>
          <w:rFonts w:ascii="Arial" w:hAnsi="Arial" w:cs="Arial"/>
          <w:sz w:val="24"/>
          <w:szCs w:val="24"/>
        </w:rPr>
        <w:t>10.2.3.2</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7AF3689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23764343"/>
      <w:r w:rsidR="0084129B" w:rsidRPr="00943568">
        <w:rPr>
          <w:rFonts w:ascii="Arial" w:hAnsi="Arial" w:cs="Arial"/>
          <w:sz w:val="24"/>
          <w:szCs w:val="24"/>
        </w:rPr>
        <w:t>System Implementation of FR2 3D MPAC Systems</w:t>
      </w:r>
      <w:bookmarkEnd w:id="4"/>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3595238C" w14:textId="77777777" w:rsidR="00816C9D" w:rsidRDefault="00816C9D" w:rsidP="001E1CF6">
      <w:pPr>
        <w:pStyle w:val="Heading1"/>
        <w:ind w:left="567" w:hanging="567"/>
      </w:pPr>
      <w:r w:rsidRPr="00647B25">
        <w:t>Introduction</w:t>
      </w:r>
    </w:p>
    <w:p w14:paraId="14866519" w14:textId="77777777" w:rsidR="00C35929" w:rsidRDefault="0084129B" w:rsidP="0084129B">
      <w:pPr>
        <w:ind w:left="48"/>
        <w:rPr>
          <w:rFonts w:eastAsia="Batang"/>
        </w:rPr>
      </w:pPr>
      <w:r>
        <w:rPr>
          <w:rFonts w:eastAsia="Batang"/>
        </w:rPr>
        <w:t xml:space="preserve">Investigations have been carried out on designing 3D MPAC systems for NR FR2 MIMO OTA testing </w:t>
      </w:r>
      <w:r>
        <w:rPr>
          <w:rFonts w:eastAsia="Batang"/>
        </w:rPr>
        <w:fldChar w:fldCharType="begin"/>
      </w:r>
      <w:r>
        <w:rPr>
          <w:rFonts w:eastAsia="Batang"/>
        </w:rPr>
        <w:instrText xml:space="preserve"> REF _Ref24101435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and to evaluate the </w:t>
      </w:r>
      <w:r>
        <w:t xml:space="preserve">impact of key design parameters (e.g., the number of probes, range length, DUT-array offset, channel model, etc.) on the OTA system performance </w:t>
      </w:r>
      <w:r>
        <w:fldChar w:fldCharType="begin"/>
      </w:r>
      <w:r>
        <w:instrText xml:space="preserve"> REF _Ref24093161 \r \h </w:instrText>
      </w:r>
      <w:r>
        <w:fldChar w:fldCharType="separate"/>
      </w:r>
      <w:r>
        <w:t>[2]</w:t>
      </w:r>
      <w:r>
        <w:fldChar w:fldCharType="end"/>
      </w:r>
      <w:r>
        <w:t xml:space="preserve">, </w:t>
      </w:r>
      <w:r>
        <w:fldChar w:fldCharType="begin"/>
      </w:r>
      <w:r>
        <w:instrText xml:space="preserve"> REF _Ref24093167 \r \h </w:instrText>
      </w:r>
      <w:r>
        <w:fldChar w:fldCharType="separate"/>
      </w:r>
      <w:r>
        <w:t>[3]</w:t>
      </w:r>
      <w:r>
        <w:fldChar w:fldCharType="end"/>
      </w:r>
      <w:r>
        <w:t xml:space="preserve">, and </w:t>
      </w:r>
      <w:r>
        <w:fldChar w:fldCharType="begin"/>
      </w:r>
      <w:r>
        <w:instrText xml:space="preserve"> REF _Ref24093174 \r \h </w:instrText>
      </w:r>
      <w:r>
        <w:fldChar w:fldCharType="separate"/>
      </w:r>
      <w:r>
        <w:t>[4]</w:t>
      </w:r>
      <w:r>
        <w:fldChar w:fldCharType="end"/>
      </w:r>
      <w:r>
        <w:rPr>
          <w:rFonts w:eastAsia="Batang"/>
        </w:rPr>
        <w:t xml:space="preserve">. In the WF from RAN4#92 </w:t>
      </w:r>
      <w:r>
        <w:rPr>
          <w:rFonts w:eastAsia="Batang"/>
        </w:rPr>
        <w:fldChar w:fldCharType="begin"/>
      </w:r>
      <w:r>
        <w:rPr>
          <w:rFonts w:eastAsia="Batang"/>
        </w:rPr>
        <w:instrText xml:space="preserve"> REF _Ref23760324 \r \h </w:instrText>
      </w:r>
      <w:r>
        <w:rPr>
          <w:rFonts w:eastAsia="Batang"/>
        </w:rPr>
      </w:r>
      <w:r>
        <w:rPr>
          <w:rFonts w:eastAsia="Batang"/>
        </w:rPr>
        <w:fldChar w:fldCharType="separate"/>
      </w:r>
      <w:r>
        <w:rPr>
          <w:rFonts w:eastAsia="Batang"/>
        </w:rPr>
        <w:t>[5]</w:t>
      </w:r>
      <w:r>
        <w:rPr>
          <w:rFonts w:eastAsia="Batang"/>
        </w:rPr>
        <w:fldChar w:fldCharType="end"/>
      </w:r>
      <w:r>
        <w:rPr>
          <w:rFonts w:eastAsia="Batang"/>
        </w:rPr>
        <w:t xml:space="preserve">, it was agreed to decide on </w:t>
      </w:r>
      <w:r>
        <w:rPr>
          <w:rFonts w:eastAsia="Batang"/>
          <w:lang w:val="it-IT"/>
        </w:rPr>
        <w:t xml:space="preserve">limits for PSP (i.e., the </w:t>
      </w:r>
      <w:r>
        <w:rPr>
          <w:rFonts w:eastAsia="Batang"/>
        </w:rPr>
        <w:t>validation metric used in FR2 MIMO OTA testing) for the down selected channel models (</w:t>
      </w:r>
      <w:r w:rsidRPr="00E16000">
        <w:rPr>
          <w:rFonts w:eastAsia="Batang"/>
          <w:lang w:val="it-IT"/>
        </w:rPr>
        <w:t>InO CDL-A</w:t>
      </w:r>
      <w:r>
        <w:rPr>
          <w:rFonts w:eastAsia="Batang"/>
          <w:lang w:val="it-IT"/>
        </w:rPr>
        <w:t xml:space="preserve"> and</w:t>
      </w:r>
      <w:r w:rsidRPr="00E16000">
        <w:rPr>
          <w:rFonts w:eastAsia="Batang"/>
          <w:lang w:val="it-IT"/>
        </w:rPr>
        <w:t xml:space="preserve"> UMi CDL-C</w:t>
      </w:r>
      <w:r>
        <w:rPr>
          <w:rFonts w:eastAsia="Batang"/>
          <w:lang w:val="it-IT"/>
        </w:rPr>
        <w:t xml:space="preserve">). </w:t>
      </w:r>
      <w:r>
        <w:rPr>
          <w:rFonts w:eastAsia="Batang"/>
        </w:rPr>
        <w:t xml:space="preserve">To this end, in our previous study </w:t>
      </w:r>
      <w:r>
        <w:rPr>
          <w:rFonts w:eastAsia="Batang"/>
        </w:rPr>
        <w:fldChar w:fldCharType="begin"/>
      </w:r>
      <w:r>
        <w:rPr>
          <w:rFonts w:eastAsia="Batang"/>
        </w:rPr>
        <w:instrText xml:space="preserve"> REF _Ref23760945 \r \h </w:instrText>
      </w:r>
      <w:r>
        <w:rPr>
          <w:rFonts w:eastAsia="Batang"/>
        </w:rPr>
      </w:r>
      <w:r>
        <w:rPr>
          <w:rFonts w:eastAsia="Batang"/>
        </w:rPr>
        <w:fldChar w:fldCharType="separate"/>
      </w:r>
      <w:r>
        <w:rPr>
          <w:rFonts w:eastAsia="Batang"/>
        </w:rPr>
        <w:t>[6]</w:t>
      </w:r>
      <w:r>
        <w:rPr>
          <w:rFonts w:eastAsia="Batang"/>
        </w:rPr>
        <w:fldChar w:fldCharType="end"/>
      </w:r>
      <w:r>
        <w:rPr>
          <w:rFonts w:eastAsia="Batang"/>
        </w:rPr>
        <w:t xml:space="preserve">, we have provided the initial results to illustrate the behaviour of PSP with the DUT offset for the two selected channel models in the WF. Furthermore, in  </w:t>
      </w:r>
      <w:r w:rsidR="00E00FCD">
        <w:rPr>
          <w:rFonts w:eastAsia="Batang"/>
        </w:rPr>
        <w:fldChar w:fldCharType="begin"/>
      </w:r>
      <w:r w:rsidR="00E00FCD">
        <w:rPr>
          <w:rFonts w:eastAsia="Batang"/>
        </w:rPr>
        <w:instrText xml:space="preserve"> REF _Ref32528938 \n \h </w:instrText>
      </w:r>
      <w:r w:rsidR="00E00FCD">
        <w:rPr>
          <w:rFonts w:eastAsia="Batang"/>
        </w:rPr>
      </w:r>
      <w:r w:rsidR="00E00FCD">
        <w:rPr>
          <w:rFonts w:eastAsia="Batang"/>
        </w:rPr>
        <w:fldChar w:fldCharType="separate"/>
      </w:r>
      <w:r w:rsidR="00E00FCD">
        <w:rPr>
          <w:rFonts w:eastAsia="Batang"/>
        </w:rPr>
        <w:t>[7]</w:t>
      </w:r>
      <w:r w:rsidR="00E00FCD">
        <w:rPr>
          <w:rFonts w:eastAsia="Batang"/>
        </w:rPr>
        <w:fldChar w:fldCharType="end"/>
      </w:r>
      <w:r w:rsidR="00E00FCD">
        <w:rPr>
          <w:rFonts w:eastAsia="Batang"/>
        </w:rPr>
        <w:t xml:space="preserve"> we have proposed acceptable PSP limits for the selected two models by </w:t>
      </w:r>
      <w:r w:rsidR="00C35929">
        <w:rPr>
          <w:rFonts w:eastAsia="Batang"/>
        </w:rPr>
        <w:t>evaluating the PSP at each feasible point in a spherical test zone.</w:t>
      </w:r>
    </w:p>
    <w:p w14:paraId="57A55EF7" w14:textId="5C24E644" w:rsidR="0084129B" w:rsidRDefault="00C35929" w:rsidP="0084129B">
      <w:pPr>
        <w:ind w:left="48"/>
        <w:rPr>
          <w:rFonts w:eastAsia="Batang"/>
        </w:rPr>
      </w:pPr>
      <w:r>
        <w:rPr>
          <w:rFonts w:eastAsia="Batang"/>
        </w:rPr>
        <w:t>In this contribution, we propose</w:t>
      </w:r>
      <w:r w:rsidR="00E3684B">
        <w:rPr>
          <w:rFonts w:eastAsia="Batang"/>
        </w:rPr>
        <w:t xml:space="preserve"> one set of</w:t>
      </w:r>
      <w:r>
        <w:rPr>
          <w:rFonts w:eastAsia="Batang"/>
        </w:rPr>
        <w:t xml:space="preserve"> optimal probe locations for an FR2 3D MPAC system</w:t>
      </w:r>
      <w:r w:rsidR="00E3684B">
        <w:rPr>
          <w:rFonts w:eastAsia="Batang"/>
        </w:rPr>
        <w:t>, which can efficiently emulate the behaviour of InO CDL-A and UMi CDL-C models inside the chamber.</w:t>
      </w:r>
    </w:p>
    <w:p w14:paraId="0FD11204" w14:textId="77777777" w:rsidR="0077175E" w:rsidRDefault="0077175E" w:rsidP="0077175E">
      <w:pPr>
        <w:pStyle w:val="Heading1"/>
        <w:ind w:left="567" w:hanging="567"/>
      </w:pPr>
      <w:r>
        <w:t>Simulation Model and Results</w:t>
      </w:r>
    </w:p>
    <w:p w14:paraId="0EA29F97" w14:textId="7C3E868D" w:rsidR="0077175E" w:rsidRPr="005F5081" w:rsidRDefault="0025085A" w:rsidP="00081419">
      <w:pPr>
        <w:pStyle w:val="Heading2"/>
      </w:pPr>
      <w:r w:rsidRPr="005F5081">
        <w:t>Optimal probe placement</w:t>
      </w:r>
    </w:p>
    <w:p w14:paraId="6459F855" w14:textId="489F4A02" w:rsidR="00EC5D60" w:rsidRPr="00081419" w:rsidRDefault="00EC5D60" w:rsidP="00EC5D60">
      <w:pPr>
        <w:ind w:left="48"/>
        <w:rPr>
          <w:rFonts w:eastAsia="Batang"/>
        </w:rPr>
      </w:pPr>
      <w:r>
        <w:rPr>
          <w:rFonts w:eastAsia="Batang"/>
        </w:rPr>
        <w:t xml:space="preserve">To find the optimal probe placement and evaluate the PSP, we rely on </w:t>
      </w:r>
      <w:r w:rsidR="00081419" w:rsidRPr="00EC5D60">
        <w:rPr>
          <w:rFonts w:eastAsia="Batang"/>
          <w:b/>
          <w:i/>
        </w:rPr>
        <w:t>ray-based</w:t>
      </w:r>
      <w:r w:rsidRPr="00EC5D60">
        <w:rPr>
          <w:rFonts w:eastAsia="Batang"/>
          <w:b/>
          <w:i/>
        </w:rPr>
        <w:t xml:space="preserve"> implementation</w:t>
      </w:r>
      <w:r>
        <w:rPr>
          <w:rFonts w:eastAsia="Batang"/>
        </w:rPr>
        <w:t xml:space="preserve"> instead of </w:t>
      </w:r>
      <w:r w:rsidR="002A27F0" w:rsidRPr="00EC5D60">
        <w:rPr>
          <w:rFonts w:eastAsia="Batang"/>
          <w:b/>
          <w:i/>
        </w:rPr>
        <w:t>cluster-based</w:t>
      </w:r>
      <w:r w:rsidRPr="00EC5D60">
        <w:rPr>
          <w:rFonts w:eastAsia="Batang"/>
          <w:b/>
          <w:i/>
        </w:rPr>
        <w:t xml:space="preserve"> implementation</w:t>
      </w:r>
      <w:r>
        <w:rPr>
          <w:rFonts w:eastAsia="Batang"/>
        </w:rPr>
        <w:t>. We first rotate one channel model while keep</w:t>
      </w:r>
      <w:r w:rsidR="00081419">
        <w:rPr>
          <w:rFonts w:eastAsia="Batang"/>
        </w:rPr>
        <w:t>ing</w:t>
      </w:r>
      <w:r>
        <w:rPr>
          <w:rFonts w:eastAsia="Batang"/>
        </w:rPr>
        <w:t xml:space="preserve"> the other channel model fixed such that the strongest rays of both models are aligned. Then, we identify the strongest channel model angles of the combined model to find the best feasible probe locations that can efficiently emulate the behaviour of InO CDL-A and UMi CDL-C models inside the chamber. To further support the identification of probe locations</w:t>
      </w:r>
      <w:r w:rsidR="00081419">
        <w:rPr>
          <w:rFonts w:eastAsia="Batang"/>
        </w:rPr>
        <w:t xml:space="preserve"> in a more visual fashion</w:t>
      </w:r>
      <w:r>
        <w:rPr>
          <w:rFonts w:eastAsia="Batang"/>
        </w:rPr>
        <w:t xml:space="preserve">, we </w:t>
      </w:r>
      <w:r w:rsidR="00081419">
        <w:rPr>
          <w:rFonts w:eastAsia="Batang"/>
        </w:rPr>
        <w:t xml:space="preserve">demonstrate this </w:t>
      </w:r>
      <w:r w:rsidR="002A27F0">
        <w:rPr>
          <w:rFonts w:eastAsia="Batang"/>
        </w:rPr>
        <w:t>approach</w:t>
      </w:r>
      <w:r w:rsidR="00081419" w:rsidRPr="00081419">
        <w:rPr>
          <w:rFonts w:eastAsia="Batang"/>
        </w:rPr>
        <w:t xml:space="preserve"> in </w:t>
      </w:r>
      <w:r w:rsidR="00081419" w:rsidRPr="00081419">
        <w:rPr>
          <w:rFonts w:eastAsia="Batang"/>
        </w:rPr>
        <w:fldChar w:fldCharType="begin"/>
      </w:r>
      <w:r w:rsidR="00081419" w:rsidRPr="00081419">
        <w:rPr>
          <w:rFonts w:eastAsia="Batang"/>
        </w:rPr>
        <w:instrText xml:space="preserve"> REF _Ref32558082 \h  \* MERGEFORMAT </w:instrText>
      </w:r>
      <w:r w:rsidR="00081419" w:rsidRPr="00081419">
        <w:rPr>
          <w:rFonts w:eastAsia="Batang"/>
        </w:rPr>
      </w:r>
      <w:r w:rsidR="00081419" w:rsidRPr="00081419">
        <w:rPr>
          <w:rFonts w:eastAsia="Batang"/>
        </w:rPr>
        <w:fldChar w:fldCharType="separate"/>
      </w:r>
      <w:r w:rsidR="00081419" w:rsidRPr="00081419">
        <w:t xml:space="preserve">Figure </w:t>
      </w:r>
      <w:r w:rsidR="00081419" w:rsidRPr="00081419">
        <w:rPr>
          <w:noProof/>
        </w:rPr>
        <w:t>1</w:t>
      </w:r>
      <w:r w:rsidR="00081419" w:rsidRPr="00081419">
        <w:rPr>
          <w:rFonts w:eastAsia="Batang"/>
        </w:rPr>
        <w:fldChar w:fldCharType="end"/>
      </w:r>
      <w:r w:rsidR="00081419" w:rsidRPr="00081419">
        <w:rPr>
          <w:rFonts w:eastAsia="Batang"/>
        </w:rPr>
        <w:t xml:space="preserve"> and </w:t>
      </w:r>
      <w:r w:rsidR="00081419" w:rsidRPr="00081419">
        <w:rPr>
          <w:rFonts w:eastAsia="Batang"/>
        </w:rPr>
        <w:fldChar w:fldCharType="begin"/>
      </w:r>
      <w:r w:rsidR="00081419" w:rsidRPr="00081419">
        <w:rPr>
          <w:rFonts w:eastAsia="Batang"/>
        </w:rPr>
        <w:instrText xml:space="preserve"> REF _Ref32558179 \h  \* MERGEFORMAT </w:instrText>
      </w:r>
      <w:r w:rsidR="00081419" w:rsidRPr="00081419">
        <w:rPr>
          <w:rFonts w:eastAsia="Batang"/>
        </w:rPr>
      </w:r>
      <w:r w:rsidR="00081419" w:rsidRPr="00081419">
        <w:rPr>
          <w:rFonts w:eastAsia="Batang"/>
        </w:rPr>
        <w:fldChar w:fldCharType="separate"/>
      </w:r>
      <w:r w:rsidR="00081419" w:rsidRPr="00081419">
        <w:t xml:space="preserve">Figure </w:t>
      </w:r>
      <w:r w:rsidR="00081419" w:rsidRPr="00081419">
        <w:rPr>
          <w:noProof/>
        </w:rPr>
        <w:t>2</w:t>
      </w:r>
      <w:r w:rsidR="00081419" w:rsidRPr="00081419">
        <w:rPr>
          <w:rFonts w:eastAsia="Batang"/>
        </w:rPr>
        <w:fldChar w:fldCharType="end"/>
      </w:r>
      <w:r w:rsidR="00081419" w:rsidRPr="00081419">
        <w:rPr>
          <w:rFonts w:eastAsia="Batang"/>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D72F60" w14:paraId="5A605F2E" w14:textId="77777777" w:rsidTr="00081419">
        <w:trPr>
          <w:jc w:val="center"/>
        </w:trPr>
        <w:tc>
          <w:tcPr>
            <w:tcW w:w="4820" w:type="dxa"/>
          </w:tcPr>
          <w:p w14:paraId="7D6164E0" w14:textId="5207C516" w:rsidR="00023641" w:rsidRDefault="002A27F0" w:rsidP="00081419">
            <w:pPr>
              <w:spacing w:after="0"/>
              <w:rPr>
                <w:rFonts w:eastAsia="Batang"/>
              </w:rPr>
            </w:pPr>
            <w:r w:rsidRPr="00511191">
              <w:rPr>
                <w:noProof/>
              </w:rPr>
              <w:drawing>
                <wp:inline distT="0" distB="0" distL="0" distR="0" wp14:anchorId="0F20CFC9" wp14:editId="16D852C4">
                  <wp:extent cx="27432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057400"/>
                          </a:xfrm>
                          <a:prstGeom prst="rect">
                            <a:avLst/>
                          </a:prstGeom>
                        </pic:spPr>
                      </pic:pic>
                    </a:graphicData>
                  </a:graphic>
                </wp:inline>
              </w:drawing>
            </w:r>
          </w:p>
        </w:tc>
        <w:tc>
          <w:tcPr>
            <w:tcW w:w="4821" w:type="dxa"/>
          </w:tcPr>
          <w:p w14:paraId="1C67EF9F" w14:textId="3E0F3DA1" w:rsidR="00023641" w:rsidRDefault="002A27F0" w:rsidP="00081419">
            <w:pPr>
              <w:spacing w:after="0"/>
              <w:rPr>
                <w:rFonts w:eastAsia="Batang"/>
              </w:rPr>
            </w:pPr>
            <w:r w:rsidRPr="00511191">
              <w:rPr>
                <w:noProof/>
              </w:rPr>
              <w:drawing>
                <wp:inline distT="0" distB="0" distL="0" distR="0" wp14:anchorId="69BC2EDD" wp14:editId="1640FC6F">
                  <wp:extent cx="2743200" cy="2057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3200" cy="2057400"/>
                          </a:xfrm>
                          <a:prstGeom prst="rect">
                            <a:avLst/>
                          </a:prstGeom>
                        </pic:spPr>
                      </pic:pic>
                    </a:graphicData>
                  </a:graphic>
                </wp:inline>
              </w:drawing>
            </w:r>
          </w:p>
        </w:tc>
      </w:tr>
      <w:tr w:rsidR="00D72F60" w14:paraId="7682542C" w14:textId="77777777" w:rsidTr="00081419">
        <w:trPr>
          <w:jc w:val="center"/>
        </w:trPr>
        <w:tc>
          <w:tcPr>
            <w:tcW w:w="4820" w:type="dxa"/>
          </w:tcPr>
          <w:p w14:paraId="3E305F4C" w14:textId="2C0638B7" w:rsidR="00023641" w:rsidRDefault="00D72F60" w:rsidP="00081419">
            <w:pPr>
              <w:spacing w:after="0"/>
              <w:jc w:val="center"/>
              <w:rPr>
                <w:rFonts w:eastAsia="Batang"/>
              </w:rPr>
            </w:pPr>
            <w:r>
              <w:rPr>
                <w:rFonts w:eastAsia="Batang"/>
              </w:rPr>
              <w:t>(a)</w:t>
            </w:r>
          </w:p>
        </w:tc>
        <w:tc>
          <w:tcPr>
            <w:tcW w:w="4821" w:type="dxa"/>
          </w:tcPr>
          <w:p w14:paraId="60C4BC8D" w14:textId="3274AD77" w:rsidR="00023641" w:rsidRDefault="00D72F60" w:rsidP="00081419">
            <w:pPr>
              <w:spacing w:after="0"/>
              <w:jc w:val="center"/>
              <w:rPr>
                <w:rFonts w:eastAsia="Batang"/>
              </w:rPr>
            </w:pPr>
            <w:r>
              <w:rPr>
                <w:rFonts w:eastAsia="Batang"/>
              </w:rPr>
              <w:t>(b)</w:t>
            </w:r>
          </w:p>
        </w:tc>
      </w:tr>
      <w:tr w:rsidR="00E20333" w14:paraId="0E4E31FA" w14:textId="77777777" w:rsidTr="00081419">
        <w:trPr>
          <w:jc w:val="center"/>
        </w:trPr>
        <w:tc>
          <w:tcPr>
            <w:tcW w:w="9641" w:type="dxa"/>
            <w:gridSpan w:val="2"/>
          </w:tcPr>
          <w:p w14:paraId="695F7667" w14:textId="29801F82" w:rsidR="00E20333" w:rsidRPr="00074316" w:rsidRDefault="00074316" w:rsidP="002A27F0">
            <w:pPr>
              <w:keepNext/>
              <w:jc w:val="center"/>
              <w:rPr>
                <w:rFonts w:eastAsia="Batang"/>
                <w:b/>
              </w:rPr>
            </w:pPr>
            <w:bookmarkStart w:id="5" w:name="_Ref32558082"/>
            <w:r w:rsidRPr="00074316">
              <w:rPr>
                <w:b/>
              </w:rPr>
              <w:t xml:space="preserve">Figure </w:t>
            </w:r>
            <w:r w:rsidRPr="00074316">
              <w:rPr>
                <w:b/>
              </w:rPr>
              <w:fldChar w:fldCharType="begin"/>
            </w:r>
            <w:r w:rsidRPr="00074316">
              <w:rPr>
                <w:b/>
              </w:rPr>
              <w:instrText xml:space="preserve"> SEQ Figure \* ARABIC </w:instrText>
            </w:r>
            <w:r w:rsidRPr="00074316">
              <w:rPr>
                <w:b/>
              </w:rPr>
              <w:fldChar w:fldCharType="separate"/>
            </w:r>
            <w:r w:rsidR="001C12EF">
              <w:rPr>
                <w:b/>
                <w:noProof/>
              </w:rPr>
              <w:t>1</w:t>
            </w:r>
            <w:r w:rsidRPr="00074316">
              <w:rPr>
                <w:b/>
              </w:rPr>
              <w:fldChar w:fldCharType="end"/>
            </w:r>
            <w:bookmarkEnd w:id="5"/>
            <w:r w:rsidRPr="00074316">
              <w:rPr>
                <w:b/>
              </w:rPr>
              <w:t xml:space="preserve">: </w:t>
            </w:r>
            <w:r w:rsidR="00E20333" w:rsidRPr="00074316">
              <w:rPr>
                <w:rFonts w:eastAsia="Batang"/>
                <w:b/>
              </w:rPr>
              <w:t>Distribution of rays</w:t>
            </w:r>
            <w:r w:rsidR="00081419">
              <w:rPr>
                <w:rFonts w:eastAsia="Batang"/>
                <w:b/>
              </w:rPr>
              <w:t xml:space="preserve"> and </w:t>
            </w:r>
            <w:r w:rsidR="00E20333" w:rsidRPr="00074316">
              <w:rPr>
                <w:rFonts w:eastAsia="Batang"/>
                <w:b/>
              </w:rPr>
              <w:t>cluster centroids: (a) InO CDL-A, (b) UMi CDL-C</w:t>
            </w:r>
          </w:p>
        </w:tc>
      </w:tr>
    </w:tbl>
    <w:p w14:paraId="05BCC2B1" w14:textId="54E6C934" w:rsidR="0025085A" w:rsidRDefault="0025085A" w:rsidP="00074316">
      <w:pPr>
        <w:pStyle w:val="Caption"/>
        <w:rPr>
          <w:rFonts w:eastAsia="Batang"/>
        </w:rPr>
      </w:pPr>
    </w:p>
    <w:p w14:paraId="34C1B7F8" w14:textId="77777777" w:rsidR="00074316" w:rsidRPr="00074316" w:rsidRDefault="00074316" w:rsidP="00074316"/>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074316" w14:paraId="4BD49E68" w14:textId="77777777" w:rsidTr="00074316">
        <w:trPr>
          <w:jc w:val="center"/>
        </w:trPr>
        <w:tc>
          <w:tcPr>
            <w:tcW w:w="4815" w:type="dxa"/>
          </w:tcPr>
          <w:p w14:paraId="21AB6227" w14:textId="24A7C38E" w:rsidR="00D72F60" w:rsidRDefault="002A27F0" w:rsidP="002A27F0">
            <w:pPr>
              <w:spacing w:after="0"/>
              <w:jc w:val="center"/>
              <w:rPr>
                <w:rFonts w:eastAsia="Batang"/>
              </w:rPr>
            </w:pPr>
            <w:r w:rsidRPr="00511191">
              <w:rPr>
                <w:noProof/>
              </w:rPr>
              <w:lastRenderedPageBreak/>
              <w:drawing>
                <wp:inline distT="0" distB="0" distL="0" distR="0" wp14:anchorId="5305EFBC" wp14:editId="5512ACD7">
                  <wp:extent cx="2743200" cy="2057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3200" cy="2057400"/>
                          </a:xfrm>
                          <a:prstGeom prst="rect">
                            <a:avLst/>
                          </a:prstGeom>
                        </pic:spPr>
                      </pic:pic>
                    </a:graphicData>
                  </a:graphic>
                </wp:inline>
              </w:drawing>
            </w:r>
          </w:p>
        </w:tc>
        <w:tc>
          <w:tcPr>
            <w:tcW w:w="4816" w:type="dxa"/>
          </w:tcPr>
          <w:p w14:paraId="46E149AF" w14:textId="59D8F262" w:rsidR="00D72F60" w:rsidRDefault="002A27F0" w:rsidP="002A27F0">
            <w:pPr>
              <w:spacing w:after="0"/>
              <w:jc w:val="center"/>
              <w:rPr>
                <w:rFonts w:eastAsia="Batang"/>
              </w:rPr>
            </w:pPr>
            <w:r w:rsidRPr="00511191">
              <w:rPr>
                <w:noProof/>
              </w:rPr>
              <w:drawing>
                <wp:inline distT="0" distB="0" distL="0" distR="0" wp14:anchorId="72D77430" wp14:editId="4EAE9F20">
                  <wp:extent cx="2743200" cy="2057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3200" cy="2057400"/>
                          </a:xfrm>
                          <a:prstGeom prst="rect">
                            <a:avLst/>
                          </a:prstGeom>
                        </pic:spPr>
                      </pic:pic>
                    </a:graphicData>
                  </a:graphic>
                </wp:inline>
              </w:drawing>
            </w:r>
          </w:p>
        </w:tc>
      </w:tr>
      <w:tr w:rsidR="00074316" w14:paraId="079E15E5" w14:textId="77777777" w:rsidTr="00074316">
        <w:trPr>
          <w:jc w:val="center"/>
        </w:trPr>
        <w:tc>
          <w:tcPr>
            <w:tcW w:w="4815" w:type="dxa"/>
          </w:tcPr>
          <w:p w14:paraId="36CDE1D6" w14:textId="77777777" w:rsidR="00D72F60" w:rsidRDefault="00D72F60" w:rsidP="002A27F0">
            <w:pPr>
              <w:spacing w:after="0"/>
              <w:jc w:val="center"/>
              <w:rPr>
                <w:rFonts w:eastAsia="Batang"/>
              </w:rPr>
            </w:pPr>
            <w:r>
              <w:rPr>
                <w:rFonts w:eastAsia="Batang"/>
              </w:rPr>
              <w:t>(a)</w:t>
            </w:r>
          </w:p>
        </w:tc>
        <w:tc>
          <w:tcPr>
            <w:tcW w:w="4816" w:type="dxa"/>
          </w:tcPr>
          <w:p w14:paraId="135D915B" w14:textId="77777777" w:rsidR="00D72F60" w:rsidRDefault="00D72F60" w:rsidP="002A27F0">
            <w:pPr>
              <w:spacing w:after="0"/>
              <w:jc w:val="center"/>
              <w:rPr>
                <w:rFonts w:eastAsia="Batang"/>
              </w:rPr>
            </w:pPr>
            <w:r>
              <w:rPr>
                <w:rFonts w:eastAsia="Batang"/>
              </w:rPr>
              <w:t>(b)</w:t>
            </w:r>
          </w:p>
        </w:tc>
      </w:tr>
      <w:tr w:rsidR="00C73979" w14:paraId="6CFA16F4" w14:textId="77777777" w:rsidTr="00074316">
        <w:trPr>
          <w:jc w:val="center"/>
        </w:trPr>
        <w:tc>
          <w:tcPr>
            <w:tcW w:w="9631" w:type="dxa"/>
            <w:gridSpan w:val="2"/>
          </w:tcPr>
          <w:p w14:paraId="531BCFA7" w14:textId="77C92757" w:rsidR="00C73979" w:rsidRDefault="002A27F0" w:rsidP="002A27F0">
            <w:pPr>
              <w:spacing w:after="0"/>
              <w:jc w:val="center"/>
              <w:rPr>
                <w:rFonts w:eastAsia="Batang"/>
              </w:rPr>
            </w:pPr>
            <w:r w:rsidRPr="00675A18">
              <w:rPr>
                <w:noProof/>
              </w:rPr>
              <w:drawing>
                <wp:inline distT="0" distB="0" distL="0" distR="0" wp14:anchorId="7AF71DE0" wp14:editId="20A974BC">
                  <wp:extent cx="4572000" cy="3429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72000" cy="3429000"/>
                          </a:xfrm>
                          <a:prstGeom prst="rect">
                            <a:avLst/>
                          </a:prstGeom>
                        </pic:spPr>
                      </pic:pic>
                    </a:graphicData>
                  </a:graphic>
                </wp:inline>
              </w:drawing>
            </w:r>
          </w:p>
        </w:tc>
      </w:tr>
      <w:tr w:rsidR="00C73979" w14:paraId="7A604458" w14:textId="77777777" w:rsidTr="00074316">
        <w:trPr>
          <w:jc w:val="center"/>
        </w:trPr>
        <w:tc>
          <w:tcPr>
            <w:tcW w:w="9631" w:type="dxa"/>
            <w:gridSpan w:val="2"/>
          </w:tcPr>
          <w:p w14:paraId="4616F921" w14:textId="7C79D1EB" w:rsidR="00C73979" w:rsidRDefault="00C73979" w:rsidP="002A27F0">
            <w:pPr>
              <w:spacing w:after="0"/>
              <w:jc w:val="center"/>
              <w:rPr>
                <w:rFonts w:eastAsia="Batang"/>
              </w:rPr>
            </w:pPr>
            <w:r>
              <w:rPr>
                <w:rFonts w:eastAsia="Batang"/>
              </w:rPr>
              <w:t>(c)</w:t>
            </w:r>
          </w:p>
        </w:tc>
      </w:tr>
      <w:tr w:rsidR="00E20333" w14:paraId="13EEEDD9" w14:textId="77777777" w:rsidTr="00074316">
        <w:trPr>
          <w:jc w:val="center"/>
        </w:trPr>
        <w:tc>
          <w:tcPr>
            <w:tcW w:w="9631" w:type="dxa"/>
            <w:gridSpan w:val="2"/>
          </w:tcPr>
          <w:p w14:paraId="0C8CE30C" w14:textId="5A03B894" w:rsidR="00E20333" w:rsidRPr="00074316" w:rsidRDefault="00074316" w:rsidP="00074316">
            <w:pPr>
              <w:keepNext/>
              <w:rPr>
                <w:rFonts w:eastAsia="Batang"/>
                <w:b/>
              </w:rPr>
            </w:pPr>
            <w:bookmarkStart w:id="6" w:name="_Ref32558179"/>
            <w:r w:rsidRPr="00074316">
              <w:rPr>
                <w:b/>
              </w:rPr>
              <w:t xml:space="preserve">Figure </w:t>
            </w:r>
            <w:r w:rsidRPr="00074316">
              <w:rPr>
                <w:b/>
              </w:rPr>
              <w:fldChar w:fldCharType="begin"/>
            </w:r>
            <w:r w:rsidRPr="00074316">
              <w:rPr>
                <w:b/>
              </w:rPr>
              <w:instrText xml:space="preserve"> SEQ Figure \* ARABIC </w:instrText>
            </w:r>
            <w:r w:rsidRPr="00074316">
              <w:rPr>
                <w:b/>
              </w:rPr>
              <w:fldChar w:fldCharType="separate"/>
            </w:r>
            <w:r w:rsidR="001C12EF">
              <w:rPr>
                <w:b/>
                <w:noProof/>
              </w:rPr>
              <w:t>2</w:t>
            </w:r>
            <w:r w:rsidRPr="00074316">
              <w:rPr>
                <w:b/>
              </w:rPr>
              <w:fldChar w:fldCharType="end"/>
            </w:r>
            <w:bookmarkEnd w:id="6"/>
            <w:r w:rsidRPr="00074316">
              <w:rPr>
                <w:b/>
              </w:rPr>
              <w:t xml:space="preserve">: </w:t>
            </w:r>
            <w:r w:rsidR="00E20333" w:rsidRPr="00074316">
              <w:rPr>
                <w:rFonts w:eastAsia="Batang"/>
                <w:b/>
              </w:rPr>
              <w:t>Distribution of ray</w:t>
            </w:r>
            <w:r w:rsidRPr="00074316">
              <w:rPr>
                <w:rFonts w:eastAsia="Batang"/>
                <w:b/>
              </w:rPr>
              <w:t>s</w:t>
            </w:r>
            <w:r w:rsidR="00E20333" w:rsidRPr="00074316">
              <w:rPr>
                <w:rFonts w:eastAsia="Batang"/>
                <w:b/>
              </w:rPr>
              <w:t xml:space="preserve"> </w:t>
            </w:r>
            <w:r w:rsidRPr="00074316">
              <w:rPr>
                <w:rFonts w:eastAsia="Batang"/>
                <w:b/>
              </w:rPr>
              <w:t>with indication of powers</w:t>
            </w:r>
            <w:r w:rsidR="00E20333" w:rsidRPr="00074316">
              <w:rPr>
                <w:rFonts w:eastAsia="Batang"/>
                <w:b/>
              </w:rPr>
              <w:t>: (a) InO CDL-A, (b) UMi CDL-C, and (c) Combined models</w:t>
            </w:r>
          </w:p>
        </w:tc>
      </w:tr>
    </w:tbl>
    <w:p w14:paraId="6FAC703C" w14:textId="77777777" w:rsidR="001A52A9" w:rsidRDefault="001A52A9" w:rsidP="001A52A9">
      <w:pPr>
        <w:rPr>
          <w:b/>
          <w:bCs/>
        </w:rPr>
      </w:pPr>
    </w:p>
    <w:p w14:paraId="1EC575A7" w14:textId="2C461531" w:rsidR="0035338F" w:rsidRPr="001A52A9" w:rsidRDefault="002A27F0" w:rsidP="001A52A9">
      <w:pPr>
        <w:rPr>
          <w:rFonts w:eastAsia="Batang"/>
          <w:b/>
          <w:bCs/>
        </w:rPr>
      </w:pPr>
      <w:r w:rsidRPr="001A52A9">
        <w:rPr>
          <w:b/>
          <w:bCs/>
        </w:rPr>
        <w:t>During the final preparation of this contribution, a</w:t>
      </w:r>
      <w:r w:rsidR="00A13A50">
        <w:rPr>
          <w:b/>
          <w:bCs/>
        </w:rPr>
        <w:t>n</w:t>
      </w:r>
      <w:r w:rsidRPr="001A52A9">
        <w:rPr>
          <w:b/>
          <w:bCs/>
        </w:rPr>
        <w:t xml:space="preserve"> </w:t>
      </w:r>
      <w:r w:rsidR="00A13A50">
        <w:rPr>
          <w:b/>
          <w:bCs/>
        </w:rPr>
        <w:t xml:space="preserve">even </w:t>
      </w:r>
      <w:r w:rsidRPr="001A52A9">
        <w:rPr>
          <w:b/>
          <w:bCs/>
        </w:rPr>
        <w:t>further optimized probe configuration was identified which is currently in the final stages of verification</w:t>
      </w:r>
      <w:r w:rsidR="001A52A9" w:rsidRPr="001A52A9">
        <w:rPr>
          <w:b/>
          <w:bCs/>
        </w:rPr>
        <w:t xml:space="preserve">. Unfortunately, the simulations did not finish before the submission deadline. The PSP percentage results and the final probe locations will be shared in a revised </w:t>
      </w:r>
      <w:r w:rsidR="001A52A9">
        <w:rPr>
          <w:b/>
          <w:bCs/>
        </w:rPr>
        <w:t xml:space="preserve">(late) </w:t>
      </w:r>
      <w:r w:rsidR="001A52A9" w:rsidRPr="001A52A9">
        <w:rPr>
          <w:b/>
          <w:bCs/>
        </w:rPr>
        <w:t xml:space="preserve">contribution for this meeting. </w:t>
      </w:r>
    </w:p>
    <w:bookmarkEnd w:id="2"/>
    <w:p w14:paraId="30F401C9" w14:textId="77777777" w:rsidR="001A52A9" w:rsidRDefault="001A52A9" w:rsidP="001A52A9">
      <w:pPr>
        <w:pStyle w:val="Heading1"/>
        <w:ind w:left="567" w:hanging="567"/>
      </w:pPr>
      <w:r>
        <w:t>Conclusion</w:t>
      </w:r>
    </w:p>
    <w:p w14:paraId="1BF55569" w14:textId="77777777" w:rsidR="001A52A9" w:rsidRDefault="001A52A9" w:rsidP="001A52A9">
      <w:r>
        <w:t>The following observations and proposals were made in this contribution</w:t>
      </w:r>
    </w:p>
    <w:p w14:paraId="2DDA6B5F" w14:textId="77777777" w:rsidR="001A52A9" w:rsidRPr="00917AB8" w:rsidRDefault="001A52A9" w:rsidP="001A52A9">
      <w:pPr>
        <w:rPr>
          <w:b/>
          <w:i/>
        </w:rPr>
      </w:pPr>
      <w:r w:rsidRPr="00917AB8">
        <w:rPr>
          <w:b/>
          <w:i/>
        </w:rPr>
        <w:t>Pending</w:t>
      </w:r>
    </w:p>
    <w:p w14:paraId="35952392" w14:textId="77777777" w:rsidR="00DD1C07" w:rsidRDefault="00DD1C07" w:rsidP="00DD1C07">
      <w:pPr>
        <w:pStyle w:val="Heading1"/>
        <w:ind w:left="567" w:hanging="567"/>
      </w:pPr>
      <w:r>
        <w:lastRenderedPageBreak/>
        <w:t>References</w:t>
      </w:r>
    </w:p>
    <w:p w14:paraId="20287B94"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7" w:name="_Ref24101435"/>
      <w:r>
        <w:t>R4-</w:t>
      </w:r>
      <w:r w:rsidRPr="00BA2F76">
        <w:t>1814835 “On Feasibility of MPAC Systems for FR2”, Keysight Technologies, 3GPP TSG-RAN WG4 Meeting #89, November 2018</w:t>
      </w:r>
      <w:bookmarkEnd w:id="7"/>
    </w:p>
    <w:p w14:paraId="4C19A393"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8" w:name="_Ref24093161"/>
      <w:r>
        <w:t>R4</w:t>
      </w:r>
      <w:r w:rsidRPr="00FA7733">
        <w:t>-1900499, “3D MPAC System Proposal for FR2 NR MIMO OTA Testing”, Keysight Technologies, 3GPP TSG-RAN WG4 Meeting #90, February 2019</w:t>
      </w:r>
      <w:bookmarkEnd w:id="8"/>
    </w:p>
    <w:p w14:paraId="0EA50AD5"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9" w:name="_Ref24093167"/>
      <w:r>
        <w:t>R4</w:t>
      </w:r>
      <w:r w:rsidRPr="00FA7733">
        <w:t>-190</w:t>
      </w:r>
      <w:r>
        <w:t>6830</w:t>
      </w:r>
      <w:r w:rsidRPr="00FA7733">
        <w:t>, “</w:t>
      </w:r>
      <w:r w:rsidRPr="00235D33">
        <w:t>DUT test zone size evaluation for UMi and InO at FR 2</w:t>
      </w:r>
      <w:r w:rsidRPr="00FA7733">
        <w:t>”, Keysight Technologies, 3GPP TSG-RAN WG4 Meeting #9</w:t>
      </w:r>
      <w:r>
        <w:t>1</w:t>
      </w:r>
      <w:r w:rsidRPr="00FA7733">
        <w:t xml:space="preserve">, </w:t>
      </w:r>
      <w:r>
        <w:t>May</w:t>
      </w:r>
      <w:r w:rsidRPr="00FA7733">
        <w:t xml:space="preserve"> 2019</w:t>
      </w:r>
      <w:bookmarkEnd w:id="9"/>
    </w:p>
    <w:p w14:paraId="6C9D4B58"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10" w:name="_Ref24093174"/>
      <w:r>
        <w:t>R4</w:t>
      </w:r>
      <w:r w:rsidRPr="00FA7733">
        <w:t>-</w:t>
      </w:r>
      <w:r w:rsidRPr="00695549">
        <w:t>1909729</w:t>
      </w:r>
      <w:r w:rsidRPr="00FA7733">
        <w:t>, “</w:t>
      </w:r>
      <w:r w:rsidRPr="00235D33">
        <w:t>System Implementation of FR2 3D MPAC</w:t>
      </w:r>
      <w:r w:rsidRPr="00FA7733">
        <w:t>”, Keysight Technologies, 3GPP TSG-RAN WG4 Meeting #9</w:t>
      </w:r>
      <w:r>
        <w:t>2</w:t>
      </w:r>
      <w:r w:rsidRPr="00FA7733">
        <w:t xml:space="preserve">, </w:t>
      </w:r>
      <w:r>
        <w:t>Aug</w:t>
      </w:r>
      <w:r w:rsidRPr="00FA7733">
        <w:t xml:space="preserve"> 2019</w:t>
      </w:r>
      <w:bookmarkEnd w:id="10"/>
    </w:p>
    <w:p w14:paraId="6960511F"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11" w:name="_Ref23760324"/>
      <w:r>
        <w:t>R</w:t>
      </w:r>
      <w:r w:rsidRPr="00E16000">
        <w:t>4-1910609, “WF on NR MIMO OTA”, CAICT, Spirent, Keysight Technologies, Qualcomm, ETS-Lindgren, MVG, 3GPP TSG-RAN WG4 Meeting #</w:t>
      </w:r>
      <w:r>
        <w:t>92</w:t>
      </w:r>
      <w:r w:rsidRPr="00E16000">
        <w:t xml:space="preserve">, Ljubljana, </w:t>
      </w:r>
      <w:r>
        <w:t>Aug</w:t>
      </w:r>
      <w:r w:rsidRPr="00E16000">
        <w:t xml:space="preserve"> 201</w:t>
      </w:r>
      <w:r>
        <w:t>9</w:t>
      </w:r>
      <w:bookmarkEnd w:id="11"/>
    </w:p>
    <w:p w14:paraId="2F1510AB"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12" w:name="_Ref23760945"/>
      <w:r>
        <w:t>R4</w:t>
      </w:r>
      <w:r w:rsidRPr="00FA7733">
        <w:t>-</w:t>
      </w:r>
      <w:r w:rsidRPr="00EE0C03">
        <w:t>1912105</w:t>
      </w:r>
      <w:r w:rsidRPr="00FA7733">
        <w:t>, “</w:t>
      </w:r>
      <w:r w:rsidRPr="00695549">
        <w:rPr>
          <w:sz w:val="22"/>
        </w:rPr>
        <w:t>System Implementation of FR2 3D MPAC</w:t>
      </w:r>
      <w:r w:rsidRPr="00FA7733">
        <w:t>”, Keysight Technologies, 3GPP TSG-RAN WG4 Meeting #9</w:t>
      </w:r>
      <w:r>
        <w:t>2bis</w:t>
      </w:r>
      <w:r w:rsidRPr="00FA7733">
        <w:t xml:space="preserve">, </w:t>
      </w:r>
      <w:r>
        <w:t>Oct</w:t>
      </w:r>
      <w:r w:rsidRPr="00FA7733">
        <w:t xml:space="preserve"> 2019</w:t>
      </w:r>
      <w:bookmarkEnd w:id="12"/>
    </w:p>
    <w:p w14:paraId="1E4211FF" w14:textId="3EF86141" w:rsidR="0084129B" w:rsidRDefault="0084129B" w:rsidP="0084129B">
      <w:pPr>
        <w:numPr>
          <w:ilvl w:val="0"/>
          <w:numId w:val="5"/>
        </w:numPr>
        <w:tabs>
          <w:tab w:val="left" w:pos="426"/>
        </w:tabs>
        <w:overflowPunct w:val="0"/>
        <w:autoSpaceDE w:val="0"/>
        <w:autoSpaceDN w:val="0"/>
        <w:adjustRightInd w:val="0"/>
        <w:textAlignment w:val="baseline"/>
      </w:pPr>
      <w:bookmarkStart w:id="13" w:name="_Ref32528938"/>
      <w:r>
        <w:t>R4</w:t>
      </w:r>
      <w:r w:rsidRPr="00FA7733">
        <w:t>-</w:t>
      </w:r>
      <w:r w:rsidRPr="00EE0C03">
        <w:t>191</w:t>
      </w:r>
      <w:r>
        <w:t>5079</w:t>
      </w:r>
      <w:r w:rsidRPr="00FA7733">
        <w:t>, “</w:t>
      </w:r>
      <w:r w:rsidRPr="00695549">
        <w:rPr>
          <w:sz w:val="22"/>
        </w:rPr>
        <w:t>System Implementation of FR2 3D MPAC</w:t>
      </w:r>
      <w:r w:rsidRPr="00FA7733">
        <w:t>”, Keysight Technologies, 3GPP TSG-RAN WG4 Meeting #9</w:t>
      </w:r>
      <w:r>
        <w:t>3</w:t>
      </w:r>
      <w:r w:rsidRPr="00FA7733">
        <w:t xml:space="preserve">, </w:t>
      </w:r>
      <w:r>
        <w:t>Nov</w:t>
      </w:r>
      <w:r w:rsidRPr="00FA7733">
        <w:t xml:space="preserve"> 2019</w:t>
      </w:r>
      <w:bookmarkEnd w:id="13"/>
    </w:p>
    <w:p w14:paraId="35952393" w14:textId="77777777" w:rsidR="000547AB" w:rsidRPr="00052390" w:rsidRDefault="000547AB" w:rsidP="00236683">
      <w:pPr>
        <w:numPr>
          <w:ilvl w:val="0"/>
          <w:numId w:val="5"/>
        </w:numPr>
        <w:tabs>
          <w:tab w:val="left" w:pos="426"/>
        </w:tabs>
        <w:overflowPunct w:val="0"/>
        <w:autoSpaceDE w:val="0"/>
        <w:autoSpaceDN w:val="0"/>
        <w:adjustRightInd w:val="0"/>
        <w:textAlignment w:val="baseline"/>
      </w:pPr>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A41AA" w14:textId="77777777" w:rsidR="00204DD8" w:rsidRDefault="00204DD8">
      <w:r>
        <w:separator/>
      </w:r>
    </w:p>
  </w:endnote>
  <w:endnote w:type="continuationSeparator" w:id="0">
    <w:p w14:paraId="44B0867A" w14:textId="77777777" w:rsidR="00204DD8" w:rsidRDefault="00204DD8">
      <w:r>
        <w:continuationSeparator/>
      </w:r>
    </w:p>
  </w:endnote>
  <w:endnote w:type="continuationNotice" w:id="1">
    <w:p w14:paraId="4F23B002" w14:textId="77777777" w:rsidR="00204DD8" w:rsidRDefault="00204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6CCAF" w14:textId="77777777" w:rsidR="00204DD8" w:rsidRDefault="00204DD8">
      <w:r>
        <w:separator/>
      </w:r>
    </w:p>
  </w:footnote>
  <w:footnote w:type="continuationSeparator" w:id="0">
    <w:p w14:paraId="2CAE16E7" w14:textId="77777777" w:rsidR="00204DD8" w:rsidRDefault="00204DD8">
      <w:r>
        <w:continuationSeparator/>
      </w:r>
    </w:p>
  </w:footnote>
  <w:footnote w:type="continuationNotice" w:id="1">
    <w:p w14:paraId="09DA5DDA" w14:textId="77777777" w:rsidR="00204DD8" w:rsidRDefault="00204D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3641"/>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4316"/>
    <w:rsid w:val="00077333"/>
    <w:rsid w:val="00081419"/>
    <w:rsid w:val="00082566"/>
    <w:rsid w:val="00083540"/>
    <w:rsid w:val="00084983"/>
    <w:rsid w:val="00087F53"/>
    <w:rsid w:val="00093E7E"/>
    <w:rsid w:val="00096EE4"/>
    <w:rsid w:val="000A12C7"/>
    <w:rsid w:val="000A2A86"/>
    <w:rsid w:val="000A363B"/>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21B4"/>
    <w:rsid w:val="00166A36"/>
    <w:rsid w:val="001741AE"/>
    <w:rsid w:val="001758FB"/>
    <w:rsid w:val="00196F9F"/>
    <w:rsid w:val="001A08AA"/>
    <w:rsid w:val="001A17A5"/>
    <w:rsid w:val="001A2BC5"/>
    <w:rsid w:val="001A2EF9"/>
    <w:rsid w:val="001A3120"/>
    <w:rsid w:val="001A3BFA"/>
    <w:rsid w:val="001A52A9"/>
    <w:rsid w:val="001B2108"/>
    <w:rsid w:val="001B231F"/>
    <w:rsid w:val="001B6A72"/>
    <w:rsid w:val="001C00AA"/>
    <w:rsid w:val="001C0CFD"/>
    <w:rsid w:val="001C12EF"/>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4DD8"/>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085A"/>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27F0"/>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38F"/>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4FB2"/>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A7D88"/>
    <w:rsid w:val="005C239F"/>
    <w:rsid w:val="005C331B"/>
    <w:rsid w:val="005C4593"/>
    <w:rsid w:val="005E12CD"/>
    <w:rsid w:val="005E2985"/>
    <w:rsid w:val="005E5D66"/>
    <w:rsid w:val="005F3B1B"/>
    <w:rsid w:val="005F5081"/>
    <w:rsid w:val="00607D98"/>
    <w:rsid w:val="0061059A"/>
    <w:rsid w:val="006126CA"/>
    <w:rsid w:val="006131BB"/>
    <w:rsid w:val="00613B1E"/>
    <w:rsid w:val="00616FB0"/>
    <w:rsid w:val="006210C4"/>
    <w:rsid w:val="00622B32"/>
    <w:rsid w:val="00623DB3"/>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1040"/>
    <w:rsid w:val="0071466D"/>
    <w:rsid w:val="00714DD6"/>
    <w:rsid w:val="007162EF"/>
    <w:rsid w:val="00720148"/>
    <w:rsid w:val="00720AC9"/>
    <w:rsid w:val="007250C2"/>
    <w:rsid w:val="0072666A"/>
    <w:rsid w:val="00726FD4"/>
    <w:rsid w:val="00727352"/>
    <w:rsid w:val="00727593"/>
    <w:rsid w:val="00727A8D"/>
    <w:rsid w:val="00730547"/>
    <w:rsid w:val="007325B2"/>
    <w:rsid w:val="00735C81"/>
    <w:rsid w:val="00736A17"/>
    <w:rsid w:val="007373B0"/>
    <w:rsid w:val="007403F2"/>
    <w:rsid w:val="00741775"/>
    <w:rsid w:val="00744CC1"/>
    <w:rsid w:val="0074650E"/>
    <w:rsid w:val="00747AD4"/>
    <w:rsid w:val="00752FA3"/>
    <w:rsid w:val="00770A12"/>
    <w:rsid w:val="0077175E"/>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129B"/>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3F6C"/>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3A50"/>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CE4"/>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5D94"/>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35929"/>
    <w:rsid w:val="00C401B8"/>
    <w:rsid w:val="00C42F12"/>
    <w:rsid w:val="00C451D8"/>
    <w:rsid w:val="00C475DA"/>
    <w:rsid w:val="00C56792"/>
    <w:rsid w:val="00C6278C"/>
    <w:rsid w:val="00C63AA2"/>
    <w:rsid w:val="00C65422"/>
    <w:rsid w:val="00C6599B"/>
    <w:rsid w:val="00C73979"/>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D3D2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2F60"/>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50DA"/>
    <w:rsid w:val="00DA66C3"/>
    <w:rsid w:val="00DB5E7F"/>
    <w:rsid w:val="00DC176A"/>
    <w:rsid w:val="00DD0C2C"/>
    <w:rsid w:val="00DD0F6E"/>
    <w:rsid w:val="00DD1C07"/>
    <w:rsid w:val="00DD4BF9"/>
    <w:rsid w:val="00DE0E3E"/>
    <w:rsid w:val="00DE2633"/>
    <w:rsid w:val="00DF1AE6"/>
    <w:rsid w:val="00E00FCD"/>
    <w:rsid w:val="00E038CE"/>
    <w:rsid w:val="00E03F11"/>
    <w:rsid w:val="00E0463C"/>
    <w:rsid w:val="00E077C9"/>
    <w:rsid w:val="00E11C02"/>
    <w:rsid w:val="00E20333"/>
    <w:rsid w:val="00E21128"/>
    <w:rsid w:val="00E21AB4"/>
    <w:rsid w:val="00E224FC"/>
    <w:rsid w:val="00E31F57"/>
    <w:rsid w:val="00E32C2E"/>
    <w:rsid w:val="00E336C5"/>
    <w:rsid w:val="00E34794"/>
    <w:rsid w:val="00E3684B"/>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1896"/>
    <w:rsid w:val="00EC0715"/>
    <w:rsid w:val="00EC5D60"/>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778583">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6B53A-9544-4CA7-8366-6B08756B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3</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Jukka Kyrolainen</cp:lastModifiedBy>
  <cp:revision>29</cp:revision>
  <dcterms:created xsi:type="dcterms:W3CDTF">2019-06-30T20:45:00Z</dcterms:created>
  <dcterms:modified xsi:type="dcterms:W3CDTF">2020-02-14T19:24:00Z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